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1"/>
        <w:tblW w:w="15165" w:type="dxa"/>
        <w:tblCellMar>
          <w:left w:w="0" w:type="dxa"/>
          <w:right w:w="0" w:type="dxa"/>
        </w:tblCellMar>
        <w:tblLook w:val="04A0" w:firstRow="1" w:lastRow="0" w:firstColumn="1" w:lastColumn="0" w:noHBand="0" w:noVBand="1"/>
      </w:tblPr>
      <w:tblGrid>
        <w:gridCol w:w="2835"/>
        <w:gridCol w:w="3968"/>
        <w:gridCol w:w="2978"/>
        <w:gridCol w:w="2124"/>
        <w:gridCol w:w="3260"/>
      </w:tblGrid>
      <w:tr w:rsidR="00BF1355" w14:paraId="588504CE" w14:textId="77777777" w:rsidTr="00535ED8">
        <w:trPr>
          <w:trHeight w:val="593"/>
        </w:trPr>
        <w:tc>
          <w:tcPr>
            <w:tcW w:w="2835"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7143CFE" w14:textId="77777777" w:rsidR="00BF1355" w:rsidRDefault="00BF1355" w:rsidP="00535ED8">
            <w:pPr>
              <w:spacing w:line="254" w:lineRule="auto"/>
              <w:rPr>
                <w:rFonts w:ascii="Arial" w:hAnsi="Arial" w:cs="Arial"/>
                <w:b/>
                <w:bCs/>
                <w:sz w:val="24"/>
                <w:szCs w:val="24"/>
              </w:rPr>
            </w:pPr>
            <w:r>
              <w:rPr>
                <w:rFonts w:ascii="Arial" w:hAnsi="Arial" w:cs="Arial"/>
                <w:b/>
                <w:bCs/>
                <w:sz w:val="24"/>
                <w:szCs w:val="24"/>
              </w:rPr>
              <w:t>Organisation</w:t>
            </w:r>
          </w:p>
        </w:tc>
        <w:tc>
          <w:tcPr>
            <w:tcW w:w="396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E74C95E" w14:textId="77777777" w:rsidR="00BF1355" w:rsidRDefault="00BF1355" w:rsidP="00535ED8">
            <w:pPr>
              <w:spacing w:line="254" w:lineRule="auto"/>
              <w:rPr>
                <w:rFonts w:ascii="Arial" w:hAnsi="Arial" w:cs="Arial"/>
                <w:b/>
                <w:bCs/>
                <w:sz w:val="24"/>
                <w:szCs w:val="24"/>
              </w:rPr>
            </w:pPr>
            <w:r>
              <w:rPr>
                <w:rFonts w:ascii="Arial" w:hAnsi="Arial" w:cs="Arial"/>
                <w:b/>
                <w:bCs/>
                <w:sz w:val="24"/>
                <w:szCs w:val="24"/>
              </w:rPr>
              <w:t>Background</w:t>
            </w:r>
          </w:p>
        </w:tc>
        <w:tc>
          <w:tcPr>
            <w:tcW w:w="297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15E06F8" w14:textId="47DF2D64" w:rsidR="00BF1355" w:rsidRDefault="00BF1355" w:rsidP="00535ED8">
            <w:pPr>
              <w:spacing w:line="254" w:lineRule="auto"/>
              <w:rPr>
                <w:rFonts w:ascii="Arial" w:hAnsi="Arial" w:cs="Arial"/>
                <w:b/>
                <w:bCs/>
                <w:sz w:val="24"/>
                <w:szCs w:val="24"/>
              </w:rPr>
            </w:pPr>
            <w:r>
              <w:rPr>
                <w:rFonts w:ascii="Arial" w:hAnsi="Arial" w:cs="Arial"/>
                <w:b/>
                <w:bCs/>
                <w:sz w:val="24"/>
                <w:szCs w:val="24"/>
              </w:rPr>
              <w:t>Representative for 20</w:t>
            </w:r>
            <w:r w:rsidR="007B066F">
              <w:rPr>
                <w:rFonts w:ascii="Arial" w:hAnsi="Arial" w:cs="Arial"/>
                <w:b/>
                <w:bCs/>
                <w:sz w:val="24"/>
                <w:szCs w:val="24"/>
              </w:rPr>
              <w:t>20/21</w:t>
            </w:r>
          </w:p>
        </w:tc>
        <w:tc>
          <w:tcPr>
            <w:tcW w:w="212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F3E408B" w14:textId="77777777" w:rsidR="00BF1355" w:rsidRDefault="00BF1355" w:rsidP="00535ED8">
            <w:pPr>
              <w:spacing w:line="254" w:lineRule="auto"/>
              <w:rPr>
                <w:rFonts w:ascii="Arial" w:hAnsi="Arial" w:cs="Arial"/>
                <w:b/>
                <w:bCs/>
              </w:rPr>
            </w:pPr>
            <w:r>
              <w:rPr>
                <w:rFonts w:ascii="Arial" w:hAnsi="Arial" w:cs="Arial"/>
                <w:b/>
                <w:bCs/>
              </w:rPr>
              <w:t>Allowances/</w:t>
            </w:r>
          </w:p>
          <w:p w14:paraId="223EF648" w14:textId="77777777" w:rsidR="00BF1355" w:rsidRDefault="00BF1355" w:rsidP="00535ED8">
            <w:pPr>
              <w:spacing w:line="254" w:lineRule="auto"/>
              <w:rPr>
                <w:rFonts w:ascii="Arial" w:hAnsi="Arial" w:cs="Arial"/>
                <w:b/>
                <w:bCs/>
                <w:sz w:val="24"/>
                <w:szCs w:val="24"/>
              </w:rPr>
            </w:pPr>
            <w:r>
              <w:rPr>
                <w:rFonts w:ascii="Arial" w:hAnsi="Arial" w:cs="Arial"/>
                <w:b/>
                <w:bCs/>
              </w:rPr>
              <w:t>Expenses</w:t>
            </w:r>
          </w:p>
        </w:tc>
        <w:tc>
          <w:tcPr>
            <w:tcW w:w="32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47ADD34" w14:textId="77777777" w:rsidR="00BF1355" w:rsidRDefault="00BF1355" w:rsidP="00535ED8">
            <w:pPr>
              <w:spacing w:line="254" w:lineRule="auto"/>
              <w:rPr>
                <w:rFonts w:ascii="Arial" w:hAnsi="Arial" w:cs="Arial"/>
                <w:b/>
                <w:bCs/>
                <w:sz w:val="24"/>
                <w:szCs w:val="24"/>
              </w:rPr>
            </w:pPr>
            <w:r>
              <w:rPr>
                <w:rFonts w:ascii="Arial" w:hAnsi="Arial" w:cs="Arial"/>
                <w:b/>
                <w:bCs/>
              </w:rPr>
              <w:t>LGA Contact Officer</w:t>
            </w:r>
          </w:p>
        </w:tc>
      </w:tr>
      <w:tr w:rsidR="00BF1355" w14:paraId="2E45D879" w14:textId="77777777" w:rsidTr="00535ED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648C7" w14:textId="79CCC7C4" w:rsidR="00BF1355" w:rsidRPr="007B066F" w:rsidRDefault="00EE617D" w:rsidP="00535ED8">
            <w:pPr>
              <w:spacing w:line="254" w:lineRule="auto"/>
              <w:rPr>
                <w:rFonts w:ascii="Arial" w:hAnsi="Arial" w:cs="Arial"/>
                <w:b/>
                <w:bCs/>
              </w:rPr>
            </w:pPr>
            <w:r w:rsidRPr="007B066F">
              <w:rPr>
                <w:rFonts w:ascii="Arial" w:hAnsi="Arial" w:cs="Arial"/>
                <w:b/>
                <w:bCs/>
              </w:rPr>
              <w:t>National Suicide Prevention</w:t>
            </w:r>
            <w:r w:rsidR="007B066F" w:rsidRPr="007B066F">
              <w:rPr>
                <w:rFonts w:ascii="Arial" w:hAnsi="Arial" w:cs="Arial"/>
                <w:b/>
                <w:bCs/>
              </w:rPr>
              <w:t xml:space="preserve"> Advisory Strategy Group</w:t>
            </w:r>
            <w:r w:rsidRPr="007B066F">
              <w:rPr>
                <w:rFonts w:ascii="Arial" w:hAnsi="Arial" w:cs="Arial"/>
                <w:b/>
                <w:bCs/>
              </w:rPr>
              <w:t xml:space="preserve"> </w:t>
            </w:r>
          </w:p>
        </w:tc>
        <w:tc>
          <w:tcPr>
            <w:tcW w:w="3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176B6" w14:textId="5E9E58EE" w:rsidR="00BF1355" w:rsidRPr="007B066F" w:rsidRDefault="008C4685" w:rsidP="00535ED8">
            <w:pPr>
              <w:spacing w:line="254" w:lineRule="auto"/>
              <w:rPr>
                <w:rFonts w:ascii="Arial" w:hAnsi="Arial" w:cs="Arial"/>
              </w:rPr>
            </w:pPr>
            <w:r>
              <w:rPr>
                <w:rFonts w:ascii="Arial" w:hAnsi="Arial" w:cs="Arial"/>
              </w:rPr>
              <w:t>The NSPASG is attended by the Minister for Suicide Prevention and brings together n</w:t>
            </w:r>
            <w:r w:rsidRPr="00B9174E">
              <w:rPr>
                <w:rFonts w:ascii="Arial" w:hAnsi="Arial" w:cs="Arial"/>
                <w:szCs w:val="22"/>
              </w:rPr>
              <w:t>ational bodies with an interest in suicide prevention, including experts by experience</w:t>
            </w:r>
            <w:r>
              <w:rPr>
                <w:rFonts w:ascii="Arial" w:hAnsi="Arial" w:cs="Arial"/>
                <w:szCs w:val="22"/>
              </w:rPr>
              <w:t>.</w:t>
            </w: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55B97" w14:textId="7D3F1CB1" w:rsidR="00BF1355" w:rsidRDefault="00BF1355" w:rsidP="00535ED8">
            <w:pPr>
              <w:spacing w:line="254" w:lineRule="auto"/>
              <w:rPr>
                <w:rFonts w:ascii="Arial" w:hAnsi="Arial" w:cs="Arial"/>
                <w:b/>
                <w:bCs/>
              </w:rPr>
            </w:pPr>
            <w:r>
              <w:rPr>
                <w:rFonts w:ascii="Arial" w:hAnsi="Arial" w:cs="Arial"/>
                <w:b/>
                <w:bCs/>
              </w:rPr>
              <w:t xml:space="preserve">Cllr </w:t>
            </w:r>
            <w:r w:rsidR="007B066F">
              <w:rPr>
                <w:rFonts w:ascii="Arial" w:hAnsi="Arial" w:cs="Arial"/>
                <w:b/>
                <w:bCs/>
              </w:rPr>
              <w:t>Richard Kemp</w:t>
            </w:r>
            <w:r>
              <w:rPr>
                <w:rFonts w:ascii="Arial" w:hAnsi="Arial" w:cs="Arial"/>
                <w:b/>
                <w:bCs/>
              </w:rPr>
              <w:t xml:space="preserve"> (Lib Dem)</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77D2F" w14:textId="77777777" w:rsidR="00BF1355" w:rsidRDefault="00BF1355" w:rsidP="00535ED8">
            <w:pPr>
              <w:spacing w:line="254" w:lineRule="auto"/>
              <w:rPr>
                <w:rFonts w:ascii="Arial" w:hAnsi="Arial" w:cs="Arial"/>
              </w:rPr>
            </w:pPr>
            <w:r>
              <w:rPr>
                <w:rFonts w:ascii="Arial" w:hAnsi="Arial" w:cs="Arial"/>
              </w:rPr>
              <w:t xml:space="preserve">The LGA will cover reasonable travel and subsistence.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C38BD" w14:textId="53F13C50" w:rsidR="007B066F" w:rsidRPr="007B066F" w:rsidRDefault="00BF1355" w:rsidP="00535ED8">
            <w:pPr>
              <w:spacing w:line="254" w:lineRule="auto"/>
              <w:rPr>
                <w:rFonts w:ascii="Arial" w:hAnsi="Arial" w:cs="Arial"/>
              </w:rPr>
            </w:pPr>
            <w:r>
              <w:rPr>
                <w:rFonts w:ascii="Arial" w:hAnsi="Arial" w:cs="Arial"/>
              </w:rPr>
              <w:t>Laura Caton</w:t>
            </w:r>
            <w:r w:rsidR="007B066F">
              <w:rPr>
                <w:rFonts w:ascii="Arial" w:hAnsi="Arial" w:cs="Arial"/>
              </w:rPr>
              <w:t>/ Kevin Halden</w:t>
            </w:r>
          </w:p>
          <w:p w14:paraId="0444F7E6" w14:textId="77777777" w:rsidR="00BF1355" w:rsidRDefault="00EC3CD0" w:rsidP="00535ED8">
            <w:pPr>
              <w:spacing w:line="254" w:lineRule="auto"/>
              <w:rPr>
                <w:rFonts w:ascii="Arial" w:hAnsi="Arial" w:cs="Arial"/>
              </w:rPr>
            </w:pPr>
            <w:hyperlink r:id="rId5" w:history="1">
              <w:r w:rsidR="00BF1355">
                <w:rPr>
                  <w:rStyle w:val="Hyperlink"/>
                  <w:rFonts w:ascii="Arial" w:hAnsi="Arial" w:cs="Arial"/>
                </w:rPr>
                <w:t>Laura.Caton@local.gov.uk</w:t>
              </w:r>
            </w:hyperlink>
            <w:r w:rsidR="00BF1355">
              <w:rPr>
                <w:rFonts w:ascii="Arial" w:hAnsi="Arial" w:cs="Arial"/>
              </w:rPr>
              <w:t xml:space="preserve"> </w:t>
            </w:r>
          </w:p>
          <w:p w14:paraId="7723AA36" w14:textId="0B91B5DF" w:rsidR="007B066F" w:rsidRDefault="00EC3CD0" w:rsidP="00535ED8">
            <w:pPr>
              <w:spacing w:line="254" w:lineRule="auto"/>
              <w:rPr>
                <w:rFonts w:ascii="Arial" w:hAnsi="Arial" w:cs="Arial"/>
                <w:color w:val="000000"/>
              </w:rPr>
            </w:pPr>
            <w:hyperlink r:id="rId6" w:history="1">
              <w:r w:rsidR="007B066F">
                <w:rPr>
                  <w:rStyle w:val="Hyperlink"/>
                  <w:rFonts w:ascii="Arial" w:hAnsi="Arial" w:cs="Arial"/>
                </w:rPr>
                <w:t>Kevin.Halden@local.gov.uk</w:t>
              </w:r>
            </w:hyperlink>
          </w:p>
        </w:tc>
      </w:tr>
      <w:tr w:rsidR="008C4685" w14:paraId="344B760F" w14:textId="77777777" w:rsidTr="00535ED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8E615D" w14:textId="5731EEFA" w:rsidR="008C4685" w:rsidRDefault="008C4685" w:rsidP="00535ED8">
            <w:pPr>
              <w:spacing w:line="254" w:lineRule="auto"/>
              <w:rPr>
                <w:rFonts w:ascii="Arial" w:hAnsi="Arial" w:cs="Arial"/>
                <w:b/>
                <w:bCs/>
              </w:rPr>
            </w:pPr>
            <w:r>
              <w:rPr>
                <w:rFonts w:ascii="Arial" w:hAnsi="Arial" w:cs="Arial"/>
                <w:b/>
              </w:rPr>
              <w:t>Ministerial Carers Action Group</w:t>
            </w:r>
          </w:p>
        </w:tc>
        <w:tc>
          <w:tcPr>
            <w:tcW w:w="3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552F1" w14:textId="2CD336C9" w:rsidR="00535ED8" w:rsidRDefault="008C4685" w:rsidP="00535ED8">
            <w:pPr>
              <w:spacing w:line="254" w:lineRule="auto"/>
              <w:rPr>
                <w:rFonts w:ascii="Arial" w:hAnsi="Arial" w:cs="Arial"/>
              </w:rPr>
            </w:pPr>
            <w:r w:rsidRPr="007B066F">
              <w:rPr>
                <w:rFonts w:ascii="Arial" w:hAnsi="Arial" w:cs="Arial"/>
              </w:rPr>
              <w:t xml:space="preserve">The Oversight Group is chaired by Helen Whatley MP, Minister for Care, and its purpose is to review progress against the </w:t>
            </w:r>
            <w:hyperlink r:id="rId7" w:history="1">
              <w:r w:rsidRPr="007B066F">
                <w:rPr>
                  <w:rStyle w:val="Hyperlink"/>
                  <w:rFonts w:ascii="Arial" w:hAnsi="Arial" w:cs="Arial"/>
                </w:rPr>
                <w:t>Carers Action Plan</w:t>
              </w:r>
            </w:hyperlink>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BCCB4" w14:textId="4E48A94E" w:rsidR="008C4685" w:rsidRDefault="008A618E" w:rsidP="00535ED8">
            <w:pPr>
              <w:spacing w:line="254" w:lineRule="auto"/>
              <w:rPr>
                <w:rFonts w:ascii="Arial" w:hAnsi="Arial" w:cs="Arial"/>
                <w:b/>
                <w:bCs/>
              </w:rPr>
            </w:pPr>
            <w:r>
              <w:rPr>
                <w:rFonts w:ascii="Arial" w:hAnsi="Arial" w:cs="Arial"/>
                <w:b/>
                <w:bCs/>
              </w:rPr>
              <w:t>To be appointed.</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8F779" w14:textId="793F0C7E" w:rsidR="008C4685" w:rsidRDefault="008C4685" w:rsidP="00535ED8">
            <w:pPr>
              <w:spacing w:line="254" w:lineRule="auto"/>
              <w:rPr>
                <w:rFonts w:ascii="Arial" w:hAnsi="Arial" w:cs="Arial"/>
              </w:rPr>
            </w:pPr>
            <w:r w:rsidRPr="00EE617D">
              <w:rPr>
                <w:rFonts w:ascii="Arial" w:hAnsi="Arial" w:cs="Arial"/>
              </w:rPr>
              <w:t>The LGA will cover reasonable travel and subsistence.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195689" w14:textId="77777777" w:rsidR="008C4685" w:rsidRDefault="008C4685" w:rsidP="00535ED8">
            <w:pPr>
              <w:spacing w:line="254" w:lineRule="auto"/>
              <w:rPr>
                <w:rFonts w:ascii="Arial" w:hAnsi="Arial" w:cs="Arial"/>
              </w:rPr>
            </w:pPr>
            <w:r>
              <w:rPr>
                <w:rFonts w:ascii="Arial" w:hAnsi="Arial" w:cs="Arial"/>
              </w:rPr>
              <w:t>Laura Caton/ Kevin Halden</w:t>
            </w:r>
          </w:p>
          <w:p w14:paraId="5E19A66E" w14:textId="77777777" w:rsidR="008C4685" w:rsidRDefault="00EC3CD0" w:rsidP="00535ED8">
            <w:pPr>
              <w:spacing w:line="254" w:lineRule="auto"/>
              <w:rPr>
                <w:rStyle w:val="Hyperlink"/>
                <w:rFonts w:ascii="Arial" w:hAnsi="Arial" w:cs="Arial"/>
              </w:rPr>
            </w:pPr>
            <w:hyperlink r:id="rId8" w:history="1">
              <w:r w:rsidR="008C4685">
                <w:rPr>
                  <w:rStyle w:val="Hyperlink"/>
                  <w:rFonts w:ascii="Arial" w:hAnsi="Arial" w:cs="Arial"/>
                </w:rPr>
                <w:t>Laura.Caton@local.gov.uk</w:t>
              </w:r>
            </w:hyperlink>
          </w:p>
          <w:p w14:paraId="72DD712B" w14:textId="1912A095" w:rsidR="008C4685" w:rsidRDefault="00EC3CD0" w:rsidP="00535ED8">
            <w:pPr>
              <w:spacing w:line="254" w:lineRule="auto"/>
              <w:rPr>
                <w:rFonts w:ascii="Arial" w:hAnsi="Arial" w:cs="Arial"/>
              </w:rPr>
            </w:pPr>
            <w:hyperlink r:id="rId9" w:history="1">
              <w:r w:rsidR="008C4685">
                <w:rPr>
                  <w:rStyle w:val="Hyperlink"/>
                  <w:rFonts w:ascii="Arial" w:hAnsi="Arial" w:cs="Arial"/>
                </w:rPr>
                <w:t>Kevin.Halden@local.gov.uk</w:t>
              </w:r>
            </w:hyperlink>
          </w:p>
        </w:tc>
      </w:tr>
      <w:tr w:rsidR="008C4685" w14:paraId="47A5AE73" w14:textId="77777777" w:rsidTr="00535ED8">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4B887" w14:textId="77777777" w:rsidR="008C4685" w:rsidRDefault="008C4685" w:rsidP="00535ED8">
            <w:pPr>
              <w:pStyle w:val="ListParagraph"/>
              <w:ind w:left="0"/>
              <w:rPr>
                <w:rFonts w:ascii="Arial" w:hAnsi="Arial" w:cs="Arial"/>
                <w:b/>
              </w:rPr>
            </w:pPr>
            <w:r>
              <w:rPr>
                <w:rFonts w:ascii="Arial" w:hAnsi="Arial" w:cs="Arial"/>
                <w:b/>
              </w:rPr>
              <w:t>LGA Asylum, Migration and Refugee Task Group</w:t>
            </w:r>
          </w:p>
          <w:p w14:paraId="27F0EEDA" w14:textId="7AA726B4" w:rsidR="008C4685" w:rsidRDefault="008C4685" w:rsidP="00535ED8">
            <w:pPr>
              <w:spacing w:line="254" w:lineRule="auto"/>
              <w:rPr>
                <w:rFonts w:ascii="Arial" w:hAnsi="Arial" w:cs="Arial"/>
                <w:b/>
              </w:rPr>
            </w:pPr>
          </w:p>
        </w:tc>
        <w:tc>
          <w:tcPr>
            <w:tcW w:w="3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51703" w14:textId="77777777" w:rsidR="008C4685" w:rsidRDefault="008C4685" w:rsidP="00535ED8">
            <w:pPr>
              <w:pStyle w:val="ListParagraph"/>
              <w:ind w:left="0"/>
              <w:rPr>
                <w:rFonts w:ascii="Arial" w:hAnsi="Arial" w:cs="Arial"/>
              </w:rPr>
            </w:pPr>
            <w:r>
              <w:rPr>
                <w:rFonts w:ascii="Arial" w:hAnsi="Arial" w:cs="Arial"/>
              </w:rPr>
              <w:t xml:space="preserve">The LGA Asylum, Refugee and Migration Task Group is made up of regional member and strategic migration partnership representation covering all of the English regions, Northern Ireland, Wales and Scotland. </w:t>
            </w:r>
          </w:p>
          <w:p w14:paraId="6107EB13" w14:textId="73A81E08" w:rsidR="008C4685" w:rsidRPr="007B066F" w:rsidRDefault="008C4685" w:rsidP="00535ED8">
            <w:pPr>
              <w:spacing w:line="254" w:lineRule="auto"/>
              <w:rPr>
                <w:rFonts w:ascii="Arial" w:hAnsi="Arial" w:cs="Arial"/>
              </w:rPr>
            </w:pPr>
          </w:p>
        </w:tc>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2157E" w14:textId="30CFBEB0" w:rsidR="00535ED8" w:rsidRPr="00535ED8" w:rsidRDefault="008C4685" w:rsidP="00535ED8">
            <w:pPr>
              <w:spacing w:line="254" w:lineRule="auto"/>
              <w:rPr>
                <w:rFonts w:ascii="Arial" w:hAnsi="Arial" w:cs="Arial"/>
              </w:rPr>
            </w:pPr>
            <w:r>
              <w:rPr>
                <w:rFonts w:ascii="Arial" w:hAnsi="Arial" w:cs="Arial"/>
              </w:rPr>
              <w:t>The Political Groups at the LGA nominate to the Task Group, so no appointment from the Board is sought. The Task Group reports to the Children and Young People and the Community Wellbeing Boards.</w:t>
            </w:r>
          </w:p>
        </w:tc>
        <w:tc>
          <w:tcPr>
            <w:tcW w:w="2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313B" w14:textId="355CD46E" w:rsidR="008C4685" w:rsidRDefault="008C4685" w:rsidP="00535ED8">
            <w:pPr>
              <w:spacing w:line="254" w:lineRule="auto"/>
              <w:rPr>
                <w:rFonts w:ascii="Arial" w:hAnsi="Arial" w:cs="Arial"/>
              </w:rPr>
            </w:pPr>
            <w:r>
              <w:rPr>
                <w:rFonts w:ascii="Arial" w:hAnsi="Arial" w:cs="Arial"/>
              </w:rPr>
              <w:t>The LGA will cover reasonable travel and subsistence.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E46C6" w14:textId="77777777" w:rsidR="008C4685" w:rsidRDefault="008C4685" w:rsidP="00535ED8">
            <w:pPr>
              <w:spacing w:line="254" w:lineRule="auto"/>
              <w:rPr>
                <w:rFonts w:ascii="Arial" w:hAnsi="Arial" w:cs="Arial"/>
              </w:rPr>
            </w:pPr>
            <w:r>
              <w:rPr>
                <w:rFonts w:ascii="Arial" w:hAnsi="Arial" w:cs="Arial"/>
              </w:rPr>
              <w:t>Emma Jenkins</w:t>
            </w:r>
          </w:p>
          <w:p w14:paraId="0D606F97" w14:textId="2F5E0048" w:rsidR="008C4685" w:rsidRDefault="00EC3CD0" w:rsidP="00535ED8">
            <w:pPr>
              <w:spacing w:line="254" w:lineRule="auto"/>
              <w:rPr>
                <w:rFonts w:ascii="Arial" w:hAnsi="Arial" w:cs="Arial"/>
              </w:rPr>
            </w:pPr>
            <w:hyperlink r:id="rId10" w:history="1">
              <w:r w:rsidR="008C4685">
                <w:rPr>
                  <w:rStyle w:val="Hyperlink"/>
                  <w:rFonts w:ascii="Arial" w:hAnsi="Arial" w:cs="Arial"/>
                </w:rPr>
                <w:t>Emma.Jenkins@local.gov.uk</w:t>
              </w:r>
            </w:hyperlink>
            <w:r w:rsidR="008C4685">
              <w:rPr>
                <w:rFonts w:ascii="Arial" w:hAnsi="Arial" w:cs="Arial"/>
              </w:rPr>
              <w:t xml:space="preserve"> </w:t>
            </w:r>
          </w:p>
        </w:tc>
      </w:tr>
      <w:tr w:rsidR="008C4685" w14:paraId="50107A4C" w14:textId="77777777" w:rsidTr="00535ED8">
        <w:tc>
          <w:tcPr>
            <w:tcW w:w="2835" w:type="dxa"/>
            <w:tcBorders>
              <w:top w:val="nil"/>
              <w:left w:val="single" w:sz="8" w:space="0" w:color="auto"/>
              <w:bottom w:val="nil"/>
              <w:right w:val="single" w:sz="8" w:space="0" w:color="auto"/>
            </w:tcBorders>
            <w:tcMar>
              <w:top w:w="0" w:type="dxa"/>
              <w:left w:w="108" w:type="dxa"/>
              <w:bottom w:w="0" w:type="dxa"/>
              <w:right w:w="108" w:type="dxa"/>
            </w:tcMar>
            <w:hideMark/>
          </w:tcPr>
          <w:p w14:paraId="443DA8A4" w14:textId="77777777" w:rsidR="008C4685" w:rsidRDefault="008C4685" w:rsidP="00535ED8">
            <w:pPr>
              <w:pStyle w:val="ListParagraph"/>
              <w:ind w:left="0"/>
              <w:rPr>
                <w:rFonts w:ascii="Arial" w:hAnsi="Arial" w:cs="Arial"/>
                <w:b/>
                <w:bCs/>
              </w:rPr>
            </w:pPr>
            <w:r w:rsidRPr="00535ED8">
              <w:rPr>
                <w:rFonts w:ascii="Arial" w:hAnsi="Arial" w:cs="Arial"/>
                <w:b/>
                <w:bCs/>
              </w:rPr>
              <w:t>LGA Children &amp; Young People’s Mental Health and Emotional Wellbeing Steering Group</w:t>
            </w:r>
          </w:p>
          <w:p w14:paraId="4DFCE59B" w14:textId="46A014AA" w:rsidR="008C4685" w:rsidRDefault="008C4685" w:rsidP="00535ED8">
            <w:pPr>
              <w:spacing w:line="252" w:lineRule="auto"/>
              <w:rPr>
                <w:rFonts w:ascii="Arial" w:hAnsi="Arial" w:cs="Arial"/>
                <w:b/>
                <w:bCs/>
              </w:rPr>
            </w:pPr>
          </w:p>
        </w:tc>
        <w:tc>
          <w:tcPr>
            <w:tcW w:w="3968" w:type="dxa"/>
            <w:tcBorders>
              <w:top w:val="nil"/>
              <w:left w:val="nil"/>
              <w:bottom w:val="nil"/>
              <w:right w:val="single" w:sz="8" w:space="0" w:color="auto"/>
            </w:tcBorders>
            <w:tcMar>
              <w:top w:w="0" w:type="dxa"/>
              <w:left w:w="108" w:type="dxa"/>
              <w:bottom w:w="0" w:type="dxa"/>
              <w:right w:w="108" w:type="dxa"/>
            </w:tcMar>
          </w:tcPr>
          <w:p w14:paraId="0C7B774B" w14:textId="77777777" w:rsidR="008C4685" w:rsidRDefault="008C4685" w:rsidP="00535ED8">
            <w:pPr>
              <w:pStyle w:val="ListParagraph"/>
              <w:ind w:left="0"/>
              <w:rPr>
                <w:rFonts w:ascii="Arial" w:hAnsi="Arial" w:cs="Arial"/>
              </w:rPr>
            </w:pPr>
            <w:r>
              <w:rPr>
                <w:rFonts w:ascii="Arial" w:hAnsi="Arial" w:cs="Arial"/>
              </w:rPr>
              <w:t xml:space="preserve">The LGA Children &amp; Young People’s Mental Health and Emotional Wellbeing Steering Group was set up to steer the research work ISOS Partnership have been commissioned to undertake, which will be launched at NCAS.  This research will look at mental health provisions and services currently available to children and young people in local areas, and how this can be improved for service users.  </w:t>
            </w:r>
          </w:p>
          <w:p w14:paraId="779C384F" w14:textId="77777777" w:rsidR="008C4685" w:rsidRDefault="008C4685" w:rsidP="00535ED8">
            <w:pPr>
              <w:pStyle w:val="ListParagraph"/>
              <w:ind w:left="0"/>
              <w:rPr>
                <w:rFonts w:ascii="Arial" w:hAnsi="Arial" w:cs="Arial"/>
              </w:rPr>
            </w:pPr>
          </w:p>
          <w:p w14:paraId="1D50B9C8" w14:textId="3F291427" w:rsidR="008C4685" w:rsidRDefault="008C4685" w:rsidP="00535ED8">
            <w:pPr>
              <w:spacing w:line="252" w:lineRule="auto"/>
            </w:pPr>
            <w:r>
              <w:rPr>
                <w:rFonts w:ascii="Arial" w:hAnsi="Arial" w:cs="Arial"/>
              </w:rPr>
              <w:lastRenderedPageBreak/>
              <w:t>As this policy is cross-cutting, the steering group’s membership is drawn from the Children &amp; Young People’s Board, the Community &amp; Wellbeing Board and the Safer &amp; Stronger Community Board in-line with LGA political proportionality.  It will provide regular updates to the three boards. It plans to meet four times – in September, October, November and December 2019.</w:t>
            </w:r>
          </w:p>
        </w:tc>
        <w:tc>
          <w:tcPr>
            <w:tcW w:w="2978" w:type="dxa"/>
            <w:tcBorders>
              <w:top w:val="nil"/>
              <w:left w:val="nil"/>
              <w:bottom w:val="nil"/>
              <w:right w:val="single" w:sz="8" w:space="0" w:color="auto"/>
            </w:tcBorders>
            <w:tcMar>
              <w:top w:w="0" w:type="dxa"/>
              <w:left w:w="108" w:type="dxa"/>
              <w:bottom w:w="0" w:type="dxa"/>
              <w:right w:w="108" w:type="dxa"/>
            </w:tcMar>
            <w:hideMark/>
          </w:tcPr>
          <w:p w14:paraId="0DF80006" w14:textId="0DAFEC19" w:rsidR="008C4685" w:rsidRDefault="008C4685" w:rsidP="00535ED8">
            <w:pPr>
              <w:spacing w:line="252" w:lineRule="auto"/>
              <w:rPr>
                <w:rFonts w:ascii="Arial" w:hAnsi="Arial" w:cs="Arial"/>
              </w:rPr>
            </w:pPr>
            <w:r>
              <w:rPr>
                <w:rFonts w:ascii="Arial" w:hAnsi="Arial" w:cs="Arial"/>
              </w:rPr>
              <w:lastRenderedPageBreak/>
              <w:t>Political Groups nominat</w:t>
            </w:r>
            <w:r w:rsidR="00FE4A75">
              <w:rPr>
                <w:rFonts w:ascii="Arial" w:hAnsi="Arial" w:cs="Arial"/>
              </w:rPr>
              <w:t>e</w:t>
            </w:r>
            <w:r>
              <w:rPr>
                <w:rFonts w:ascii="Arial" w:hAnsi="Arial" w:cs="Arial"/>
              </w:rPr>
              <w:t xml:space="preserve"> members to th</w:t>
            </w:r>
            <w:r w:rsidR="00535ED8">
              <w:rPr>
                <w:rFonts w:ascii="Arial" w:hAnsi="Arial" w:cs="Arial"/>
              </w:rPr>
              <w:t>is</w:t>
            </w:r>
            <w:r>
              <w:rPr>
                <w:rFonts w:ascii="Arial" w:hAnsi="Arial" w:cs="Arial"/>
              </w:rPr>
              <w:t xml:space="preserve"> Group and the following </w:t>
            </w:r>
            <w:r w:rsidR="00535ED8">
              <w:rPr>
                <w:rFonts w:ascii="Arial" w:hAnsi="Arial" w:cs="Arial"/>
              </w:rPr>
              <w:t>n</w:t>
            </w:r>
            <w:r>
              <w:rPr>
                <w:rFonts w:ascii="Arial" w:hAnsi="Arial" w:cs="Arial"/>
              </w:rPr>
              <w:t>ominations have been made:</w:t>
            </w:r>
          </w:p>
          <w:p w14:paraId="7E259981" w14:textId="77777777" w:rsidR="008C4685" w:rsidRDefault="008C4685" w:rsidP="00535ED8">
            <w:pPr>
              <w:spacing w:line="252" w:lineRule="auto"/>
              <w:rPr>
                <w:rFonts w:ascii="Arial" w:hAnsi="Arial" w:cs="Arial"/>
              </w:rPr>
            </w:pPr>
          </w:p>
          <w:p w14:paraId="037ED3F7" w14:textId="77777777" w:rsidR="008C4685" w:rsidRPr="00535ED8" w:rsidRDefault="008C4685" w:rsidP="00535ED8">
            <w:pPr>
              <w:spacing w:line="252" w:lineRule="auto"/>
              <w:rPr>
                <w:rFonts w:ascii="Arial" w:hAnsi="Arial" w:cs="Arial"/>
                <w:b/>
                <w:bCs/>
              </w:rPr>
            </w:pPr>
            <w:r w:rsidRPr="00535ED8">
              <w:rPr>
                <w:rFonts w:ascii="Arial" w:hAnsi="Arial" w:cs="Arial"/>
                <w:b/>
                <w:bCs/>
              </w:rPr>
              <w:t>Cllr Teresa Heritage (Con), CYP Board.</w:t>
            </w:r>
          </w:p>
          <w:p w14:paraId="33966600" w14:textId="77777777" w:rsidR="008C4685" w:rsidRPr="00535ED8" w:rsidRDefault="008C4685" w:rsidP="00535ED8">
            <w:pPr>
              <w:spacing w:line="252" w:lineRule="auto"/>
              <w:rPr>
                <w:rFonts w:ascii="Arial" w:hAnsi="Arial" w:cs="Arial"/>
                <w:b/>
                <w:bCs/>
              </w:rPr>
            </w:pPr>
          </w:p>
          <w:p w14:paraId="2BD3DB7A" w14:textId="77777777" w:rsidR="008C4685" w:rsidRPr="00535ED8" w:rsidRDefault="008C4685" w:rsidP="00535ED8">
            <w:pPr>
              <w:spacing w:line="252" w:lineRule="auto"/>
              <w:rPr>
                <w:rFonts w:ascii="Arial" w:hAnsi="Arial" w:cs="Arial"/>
                <w:b/>
                <w:bCs/>
              </w:rPr>
            </w:pPr>
            <w:r w:rsidRPr="00535ED8">
              <w:rPr>
                <w:rFonts w:ascii="Arial" w:hAnsi="Arial" w:cs="Arial"/>
                <w:b/>
                <w:bCs/>
              </w:rPr>
              <w:t>Cllr Sue Woolley (Con), CWB Board.</w:t>
            </w:r>
          </w:p>
          <w:p w14:paraId="7997AA1D" w14:textId="77777777" w:rsidR="008C4685" w:rsidRPr="00535ED8" w:rsidRDefault="008C4685" w:rsidP="00535ED8">
            <w:pPr>
              <w:spacing w:line="252" w:lineRule="auto"/>
              <w:rPr>
                <w:rFonts w:ascii="Arial" w:hAnsi="Arial" w:cs="Arial"/>
                <w:b/>
                <w:bCs/>
              </w:rPr>
            </w:pPr>
          </w:p>
          <w:p w14:paraId="4A660FB9" w14:textId="77777777" w:rsidR="008C4685" w:rsidRPr="00535ED8" w:rsidRDefault="008C4685" w:rsidP="00535ED8">
            <w:pPr>
              <w:spacing w:line="252" w:lineRule="auto"/>
              <w:rPr>
                <w:rFonts w:ascii="Arial" w:hAnsi="Arial" w:cs="Arial"/>
                <w:b/>
                <w:bCs/>
              </w:rPr>
            </w:pPr>
            <w:r w:rsidRPr="00535ED8">
              <w:rPr>
                <w:rFonts w:ascii="Arial" w:hAnsi="Arial" w:cs="Arial"/>
                <w:b/>
                <w:bCs/>
              </w:rPr>
              <w:t>Cllr Shabir Pandor (Lab), CWB Board.</w:t>
            </w:r>
          </w:p>
          <w:p w14:paraId="48760958" w14:textId="77777777" w:rsidR="008C4685" w:rsidRPr="00535ED8" w:rsidRDefault="008C4685" w:rsidP="00535ED8">
            <w:pPr>
              <w:spacing w:line="252" w:lineRule="auto"/>
              <w:rPr>
                <w:rFonts w:ascii="Arial" w:hAnsi="Arial" w:cs="Arial"/>
                <w:b/>
                <w:bCs/>
              </w:rPr>
            </w:pPr>
          </w:p>
          <w:p w14:paraId="73514657" w14:textId="77777777" w:rsidR="008C4685" w:rsidRPr="00535ED8" w:rsidRDefault="008C4685" w:rsidP="00535ED8">
            <w:pPr>
              <w:spacing w:line="252" w:lineRule="auto"/>
              <w:rPr>
                <w:rFonts w:ascii="Arial" w:hAnsi="Arial" w:cs="Arial"/>
                <w:b/>
                <w:bCs/>
              </w:rPr>
            </w:pPr>
            <w:r w:rsidRPr="00535ED8">
              <w:rPr>
                <w:rFonts w:ascii="Arial" w:hAnsi="Arial" w:cs="Arial"/>
                <w:b/>
                <w:bCs/>
              </w:rPr>
              <w:lastRenderedPageBreak/>
              <w:t>Cllr Lesley Williams (Lab), CYP Board.</w:t>
            </w:r>
          </w:p>
          <w:p w14:paraId="10045B7D" w14:textId="77777777" w:rsidR="008C4685" w:rsidRPr="00535ED8" w:rsidRDefault="008C4685" w:rsidP="00535ED8">
            <w:pPr>
              <w:spacing w:line="252" w:lineRule="auto"/>
              <w:rPr>
                <w:rFonts w:ascii="Arial" w:hAnsi="Arial" w:cs="Arial"/>
                <w:b/>
                <w:bCs/>
              </w:rPr>
            </w:pPr>
          </w:p>
          <w:p w14:paraId="123682D6" w14:textId="77777777" w:rsidR="008C4685" w:rsidRPr="00535ED8" w:rsidRDefault="008C4685" w:rsidP="00535ED8">
            <w:pPr>
              <w:spacing w:line="252" w:lineRule="auto"/>
              <w:rPr>
                <w:rFonts w:ascii="Arial" w:hAnsi="Arial" w:cs="Arial"/>
                <w:b/>
                <w:bCs/>
              </w:rPr>
            </w:pPr>
            <w:r w:rsidRPr="00535ED8">
              <w:rPr>
                <w:rFonts w:ascii="Arial" w:hAnsi="Arial" w:cs="Arial"/>
                <w:b/>
                <w:bCs/>
              </w:rPr>
              <w:t>Cllr Nick Cott* (Lib Dem), CYP Board</w:t>
            </w:r>
          </w:p>
          <w:p w14:paraId="5045F69A" w14:textId="77777777" w:rsidR="008C4685" w:rsidRPr="00535ED8" w:rsidRDefault="008C4685" w:rsidP="00535ED8">
            <w:pPr>
              <w:spacing w:line="252" w:lineRule="auto"/>
              <w:rPr>
                <w:rFonts w:ascii="Arial" w:hAnsi="Arial" w:cs="Arial"/>
                <w:b/>
                <w:bCs/>
              </w:rPr>
            </w:pPr>
          </w:p>
          <w:p w14:paraId="271247E4" w14:textId="77777777" w:rsidR="008C4685" w:rsidRPr="00535ED8" w:rsidRDefault="008C4685" w:rsidP="00535ED8">
            <w:pPr>
              <w:spacing w:line="252" w:lineRule="auto"/>
              <w:rPr>
                <w:rFonts w:ascii="Arial" w:hAnsi="Arial" w:cs="Arial"/>
                <w:b/>
                <w:bCs/>
              </w:rPr>
            </w:pPr>
            <w:r w:rsidRPr="00535ED8">
              <w:rPr>
                <w:rFonts w:ascii="Arial" w:hAnsi="Arial" w:cs="Arial"/>
                <w:b/>
                <w:bCs/>
              </w:rPr>
              <w:t>Cllr Hannah Dalton (Ind.), SSC Board</w:t>
            </w:r>
          </w:p>
          <w:p w14:paraId="3CF3F045" w14:textId="25F6F3E9" w:rsidR="008C4685" w:rsidRDefault="008C4685" w:rsidP="00535ED8">
            <w:pPr>
              <w:spacing w:line="252" w:lineRule="auto"/>
              <w:rPr>
                <w:rFonts w:ascii="Arial" w:hAnsi="Arial" w:cs="Arial"/>
                <w:b/>
                <w:bCs/>
              </w:rPr>
            </w:pPr>
          </w:p>
        </w:tc>
        <w:tc>
          <w:tcPr>
            <w:tcW w:w="2124" w:type="dxa"/>
            <w:tcBorders>
              <w:top w:val="nil"/>
              <w:left w:val="nil"/>
              <w:bottom w:val="nil"/>
              <w:right w:val="single" w:sz="8" w:space="0" w:color="auto"/>
            </w:tcBorders>
            <w:tcMar>
              <w:top w:w="0" w:type="dxa"/>
              <w:left w:w="108" w:type="dxa"/>
              <w:bottom w:w="0" w:type="dxa"/>
              <w:right w:w="108" w:type="dxa"/>
            </w:tcMar>
            <w:hideMark/>
          </w:tcPr>
          <w:p w14:paraId="75554CE6" w14:textId="3FB64D9C" w:rsidR="008C4685" w:rsidRDefault="008C4685" w:rsidP="00535ED8">
            <w:pPr>
              <w:spacing w:line="252" w:lineRule="auto"/>
              <w:rPr>
                <w:rFonts w:ascii="Arial" w:hAnsi="Arial" w:cs="Arial"/>
              </w:rPr>
            </w:pPr>
            <w:r>
              <w:rPr>
                <w:rFonts w:ascii="Arial" w:hAnsi="Arial" w:cs="Arial"/>
              </w:rPr>
              <w:lastRenderedPageBreak/>
              <w:t>The LGA will cover reasonable travel and subsistence. </w:t>
            </w:r>
          </w:p>
        </w:tc>
        <w:tc>
          <w:tcPr>
            <w:tcW w:w="3260" w:type="dxa"/>
            <w:tcBorders>
              <w:top w:val="nil"/>
              <w:left w:val="nil"/>
              <w:bottom w:val="nil"/>
              <w:right w:val="single" w:sz="8" w:space="0" w:color="auto"/>
            </w:tcBorders>
            <w:tcMar>
              <w:top w:w="0" w:type="dxa"/>
              <w:left w:w="108" w:type="dxa"/>
              <w:bottom w:w="0" w:type="dxa"/>
              <w:right w:w="108" w:type="dxa"/>
            </w:tcMar>
            <w:hideMark/>
          </w:tcPr>
          <w:p w14:paraId="6565B6D7" w14:textId="77777777" w:rsidR="008C4685" w:rsidRDefault="008C4685" w:rsidP="00535ED8">
            <w:pPr>
              <w:spacing w:line="252" w:lineRule="auto"/>
              <w:rPr>
                <w:rFonts w:ascii="Arial" w:hAnsi="Arial" w:cs="Arial"/>
              </w:rPr>
            </w:pPr>
            <w:r>
              <w:rPr>
                <w:rFonts w:ascii="Arial" w:hAnsi="Arial" w:cs="Arial"/>
              </w:rPr>
              <w:t xml:space="preserve">Abigail Gallop </w:t>
            </w:r>
          </w:p>
          <w:p w14:paraId="6473F87B" w14:textId="0A244BE5" w:rsidR="008C4685" w:rsidRDefault="00EC3CD0" w:rsidP="00535ED8">
            <w:pPr>
              <w:spacing w:line="252" w:lineRule="auto"/>
              <w:rPr>
                <w:rFonts w:ascii="Arial" w:hAnsi="Arial" w:cs="Arial"/>
              </w:rPr>
            </w:pPr>
            <w:hyperlink r:id="rId11" w:history="1">
              <w:r w:rsidR="008C4685">
                <w:rPr>
                  <w:rStyle w:val="Hyperlink"/>
                  <w:rFonts w:ascii="Arial" w:hAnsi="Arial" w:cs="Arial"/>
                </w:rPr>
                <w:t>Abigail.Gallop@local.gov.uk</w:t>
              </w:r>
            </w:hyperlink>
            <w:r w:rsidR="008C4685">
              <w:rPr>
                <w:rFonts w:ascii="Arial" w:hAnsi="Arial" w:cs="Arial"/>
              </w:rPr>
              <w:t xml:space="preserve"> </w:t>
            </w:r>
          </w:p>
        </w:tc>
      </w:tr>
      <w:tr w:rsidR="00535ED8" w14:paraId="14E5196A" w14:textId="77777777" w:rsidTr="00FE4A75">
        <w:tc>
          <w:tcPr>
            <w:tcW w:w="2835" w:type="dxa"/>
            <w:tcBorders>
              <w:top w:val="nil"/>
              <w:left w:val="single" w:sz="8" w:space="0" w:color="auto"/>
              <w:bottom w:val="nil"/>
              <w:right w:val="single" w:sz="8" w:space="0" w:color="auto"/>
            </w:tcBorders>
            <w:tcMar>
              <w:top w:w="0" w:type="dxa"/>
              <w:left w:w="108" w:type="dxa"/>
              <w:bottom w:w="0" w:type="dxa"/>
              <w:right w:w="108" w:type="dxa"/>
            </w:tcMar>
          </w:tcPr>
          <w:p w14:paraId="34EEE025" w14:textId="392AAAEE" w:rsidR="00535ED8" w:rsidRPr="00535ED8" w:rsidRDefault="00535ED8" w:rsidP="00535ED8">
            <w:pPr>
              <w:pStyle w:val="ListParagraph"/>
              <w:ind w:left="0"/>
              <w:rPr>
                <w:rFonts w:ascii="Arial" w:hAnsi="Arial" w:cs="Arial"/>
                <w:b/>
                <w:bCs/>
              </w:rPr>
            </w:pPr>
            <w:r>
              <w:rPr>
                <w:rFonts w:ascii="Arial" w:hAnsi="Arial" w:cs="Arial"/>
                <w:b/>
                <w:bCs/>
              </w:rPr>
              <w:t>Digital Champion</w:t>
            </w:r>
          </w:p>
        </w:tc>
        <w:tc>
          <w:tcPr>
            <w:tcW w:w="3968" w:type="dxa"/>
            <w:tcBorders>
              <w:top w:val="nil"/>
              <w:left w:val="nil"/>
              <w:bottom w:val="nil"/>
              <w:right w:val="single" w:sz="8" w:space="0" w:color="auto"/>
            </w:tcBorders>
            <w:tcMar>
              <w:top w:w="0" w:type="dxa"/>
              <w:left w:w="108" w:type="dxa"/>
              <w:bottom w:w="0" w:type="dxa"/>
              <w:right w:w="108" w:type="dxa"/>
            </w:tcMar>
          </w:tcPr>
          <w:p w14:paraId="494D685C" w14:textId="5EBBA7FD" w:rsidR="00B20CB4" w:rsidRPr="00B20CB4" w:rsidRDefault="00B20CB4" w:rsidP="00B20CB4">
            <w:pPr>
              <w:rPr>
                <w:rFonts w:ascii="Arial" w:hAnsi="Arial" w:cs="Arial"/>
                <w:szCs w:val="22"/>
              </w:rPr>
            </w:pPr>
            <w:r>
              <w:rPr>
                <w:rFonts w:ascii="Arial" w:hAnsi="Arial" w:cs="Arial"/>
                <w:szCs w:val="22"/>
              </w:rPr>
              <w:t xml:space="preserve">The Champion </w:t>
            </w:r>
            <w:r w:rsidR="00EC3CD0">
              <w:rPr>
                <w:rFonts w:ascii="Arial" w:hAnsi="Arial" w:cs="Arial"/>
                <w:szCs w:val="22"/>
              </w:rPr>
              <w:t>be the first port of call for digital on</w:t>
            </w:r>
            <w:bookmarkStart w:id="0" w:name="_GoBack"/>
            <w:bookmarkEnd w:id="0"/>
            <w:r w:rsidRPr="00B20CB4">
              <w:rPr>
                <w:rFonts w:ascii="Arial" w:hAnsi="Arial" w:cs="Arial"/>
                <w:szCs w:val="22"/>
              </w:rPr>
              <w:t xml:space="preserve"> behalf of the Board and report back to the Community Wellbeing Board on these activities</w:t>
            </w:r>
            <w:r>
              <w:rPr>
                <w:rFonts w:ascii="Arial" w:hAnsi="Arial" w:cs="Arial"/>
                <w:szCs w:val="22"/>
              </w:rPr>
              <w:t>.</w:t>
            </w:r>
          </w:p>
          <w:p w14:paraId="4B19C308" w14:textId="77777777" w:rsidR="00535ED8" w:rsidRPr="00B20CB4" w:rsidRDefault="00535ED8" w:rsidP="00535ED8">
            <w:pPr>
              <w:pStyle w:val="ListParagraph"/>
              <w:ind w:left="0"/>
              <w:rPr>
                <w:rFonts w:ascii="Arial" w:hAnsi="Arial" w:cs="Arial"/>
                <w:szCs w:val="22"/>
              </w:rPr>
            </w:pPr>
          </w:p>
        </w:tc>
        <w:tc>
          <w:tcPr>
            <w:tcW w:w="2978" w:type="dxa"/>
            <w:tcBorders>
              <w:top w:val="nil"/>
              <w:left w:val="nil"/>
              <w:bottom w:val="nil"/>
              <w:right w:val="single" w:sz="8" w:space="0" w:color="auto"/>
            </w:tcBorders>
            <w:tcMar>
              <w:top w:w="0" w:type="dxa"/>
              <w:left w:w="108" w:type="dxa"/>
              <w:bottom w:w="0" w:type="dxa"/>
              <w:right w:w="108" w:type="dxa"/>
            </w:tcMar>
          </w:tcPr>
          <w:p w14:paraId="365BF0B5" w14:textId="38FC95AF" w:rsidR="00535ED8" w:rsidRPr="00FE4A75" w:rsidRDefault="00535ED8" w:rsidP="00535ED8">
            <w:pPr>
              <w:spacing w:line="252" w:lineRule="auto"/>
              <w:rPr>
                <w:rFonts w:ascii="Arial" w:hAnsi="Arial" w:cs="Arial"/>
                <w:b/>
                <w:bCs/>
              </w:rPr>
            </w:pPr>
            <w:r w:rsidRPr="00FE4A75">
              <w:rPr>
                <w:rFonts w:ascii="Arial" w:hAnsi="Arial" w:cs="Arial"/>
                <w:b/>
                <w:bCs/>
              </w:rPr>
              <w:t>Cllr Louise Gittins</w:t>
            </w:r>
            <w:r w:rsidR="00FE4A75">
              <w:rPr>
                <w:rFonts w:ascii="Arial" w:hAnsi="Arial" w:cs="Arial"/>
                <w:b/>
                <w:bCs/>
              </w:rPr>
              <w:t xml:space="preserve"> (Lab)</w:t>
            </w:r>
          </w:p>
        </w:tc>
        <w:tc>
          <w:tcPr>
            <w:tcW w:w="2124" w:type="dxa"/>
            <w:tcBorders>
              <w:top w:val="nil"/>
              <w:left w:val="nil"/>
              <w:bottom w:val="nil"/>
              <w:right w:val="single" w:sz="8" w:space="0" w:color="auto"/>
            </w:tcBorders>
            <w:tcMar>
              <w:top w:w="0" w:type="dxa"/>
              <w:left w:w="108" w:type="dxa"/>
              <w:bottom w:w="0" w:type="dxa"/>
              <w:right w:w="108" w:type="dxa"/>
            </w:tcMar>
          </w:tcPr>
          <w:p w14:paraId="002E31B0" w14:textId="77777777" w:rsidR="00535ED8" w:rsidRDefault="00535ED8" w:rsidP="00535ED8">
            <w:pPr>
              <w:spacing w:line="252" w:lineRule="auto"/>
              <w:rPr>
                <w:rFonts w:ascii="Arial" w:hAnsi="Arial" w:cs="Arial"/>
              </w:rPr>
            </w:pPr>
          </w:p>
        </w:tc>
        <w:tc>
          <w:tcPr>
            <w:tcW w:w="3260" w:type="dxa"/>
            <w:tcBorders>
              <w:top w:val="nil"/>
              <w:left w:val="nil"/>
              <w:bottom w:val="nil"/>
              <w:right w:val="single" w:sz="8" w:space="0" w:color="auto"/>
            </w:tcBorders>
            <w:tcMar>
              <w:top w:w="0" w:type="dxa"/>
              <w:left w:w="108" w:type="dxa"/>
              <w:bottom w:w="0" w:type="dxa"/>
              <w:right w:w="108" w:type="dxa"/>
            </w:tcMar>
          </w:tcPr>
          <w:p w14:paraId="54753046" w14:textId="753C6142" w:rsidR="00535ED8" w:rsidRDefault="00535ED8" w:rsidP="00535ED8">
            <w:pPr>
              <w:spacing w:line="252" w:lineRule="auto"/>
              <w:rPr>
                <w:rFonts w:ascii="Arial" w:hAnsi="Arial" w:cs="Arial"/>
              </w:rPr>
            </w:pPr>
            <w:r>
              <w:rPr>
                <w:rFonts w:ascii="Arial" w:hAnsi="Arial" w:cs="Arial"/>
              </w:rPr>
              <w:t>Hannah Berry</w:t>
            </w:r>
            <w:r w:rsidR="00FE4A75">
              <w:rPr>
                <w:rFonts w:ascii="Arial" w:hAnsi="Arial" w:cs="Arial"/>
              </w:rPr>
              <w:br/>
            </w:r>
            <w:hyperlink r:id="rId12" w:history="1">
              <w:r w:rsidR="00FE4A75" w:rsidRPr="00705302">
                <w:rPr>
                  <w:rStyle w:val="Hyperlink"/>
                  <w:rFonts w:ascii="Arial" w:hAnsi="Arial" w:cs="Arial"/>
                </w:rPr>
                <w:t>Hannah.Berry@local.gov.uk</w:t>
              </w:r>
            </w:hyperlink>
          </w:p>
          <w:p w14:paraId="0734EFED" w14:textId="343AF27B" w:rsidR="00FE4A75" w:rsidRDefault="00FE4A75" w:rsidP="00535ED8">
            <w:pPr>
              <w:spacing w:line="252" w:lineRule="auto"/>
              <w:rPr>
                <w:rFonts w:ascii="Arial" w:hAnsi="Arial" w:cs="Arial"/>
              </w:rPr>
            </w:pPr>
          </w:p>
        </w:tc>
      </w:tr>
      <w:tr w:rsidR="00FE4A75" w14:paraId="14129F5D" w14:textId="77777777" w:rsidTr="00535ED8">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C701C" w14:textId="77777777" w:rsidR="00FE4A75" w:rsidRDefault="00FE4A75" w:rsidP="00535ED8">
            <w:pPr>
              <w:pStyle w:val="ListParagraph"/>
              <w:ind w:left="0"/>
              <w:rPr>
                <w:rFonts w:ascii="Arial" w:hAnsi="Arial" w:cs="Arial"/>
                <w:b/>
                <w:bCs/>
              </w:rPr>
            </w:pPr>
            <w:r>
              <w:rPr>
                <w:rFonts w:ascii="Arial" w:hAnsi="Arial" w:cs="Arial"/>
                <w:b/>
                <w:bCs/>
              </w:rPr>
              <w:t>Equalities and Diversity Champion</w:t>
            </w:r>
          </w:p>
          <w:p w14:paraId="24526948" w14:textId="77777777" w:rsidR="00B4335C" w:rsidRDefault="00B4335C" w:rsidP="00535ED8">
            <w:pPr>
              <w:pStyle w:val="ListParagraph"/>
              <w:ind w:left="0"/>
              <w:rPr>
                <w:rFonts w:ascii="Arial" w:hAnsi="Arial" w:cs="Arial"/>
                <w:b/>
                <w:bCs/>
              </w:rPr>
            </w:pPr>
          </w:p>
          <w:p w14:paraId="12692B0D" w14:textId="2B11B91A" w:rsidR="00B4335C" w:rsidRDefault="00B4335C" w:rsidP="00B4335C">
            <w:pPr>
              <w:pStyle w:val="ListParagraph"/>
              <w:ind w:left="0"/>
              <w:rPr>
                <w:rFonts w:ascii="Arial" w:hAnsi="Arial" w:cs="Arial"/>
                <w:b/>
                <w:bCs/>
              </w:rPr>
            </w:pPr>
          </w:p>
        </w:tc>
        <w:tc>
          <w:tcPr>
            <w:tcW w:w="3968" w:type="dxa"/>
            <w:tcBorders>
              <w:top w:val="nil"/>
              <w:left w:val="nil"/>
              <w:bottom w:val="single" w:sz="8" w:space="0" w:color="auto"/>
              <w:right w:val="single" w:sz="8" w:space="0" w:color="auto"/>
            </w:tcBorders>
            <w:tcMar>
              <w:top w:w="0" w:type="dxa"/>
              <w:left w:w="108" w:type="dxa"/>
              <w:bottom w:w="0" w:type="dxa"/>
              <w:right w:w="108" w:type="dxa"/>
            </w:tcMar>
          </w:tcPr>
          <w:p w14:paraId="61F6F050" w14:textId="77777777" w:rsid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Within the Board the Advocate will be expected to:</w:t>
            </w:r>
          </w:p>
          <w:p w14:paraId="596E0D0B" w14:textId="77777777" w:rsid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Encourage the Board to consider equality issues in all their work</w:t>
            </w:r>
            <w:r>
              <w:rPr>
                <w:rFonts w:ascii="Arial" w:eastAsiaTheme="minorHAnsi" w:hAnsi="Arial" w:cs="Arial"/>
                <w:noProof/>
                <w:szCs w:val="22"/>
                <w:lang w:eastAsia="en-US"/>
              </w:rPr>
              <w:t>;</w:t>
            </w:r>
          </w:p>
          <w:p w14:paraId="6DF752FC" w14:textId="77777777" w:rsid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Challenge the Board to embed equalities into the work of the Board</w:t>
            </w:r>
            <w:r>
              <w:rPr>
                <w:rFonts w:ascii="Arial" w:eastAsiaTheme="minorHAnsi" w:hAnsi="Arial" w:cs="Arial"/>
                <w:noProof/>
                <w:szCs w:val="22"/>
                <w:lang w:eastAsia="en-US"/>
              </w:rPr>
              <w:t>;</w:t>
            </w:r>
          </w:p>
          <w:p w14:paraId="44376E48" w14:textId="77777777" w:rsidR="00B4335C" w:rsidRP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Hold the Board to account around equalities issues.</w:t>
            </w:r>
          </w:p>
          <w:p w14:paraId="1D8E86D1" w14:textId="77777777" w:rsid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Outside of the Board the Advocate will be expected to:</w:t>
            </w:r>
          </w:p>
          <w:p w14:paraId="7FD6BE6A" w14:textId="77777777" w:rsidR="00B4335C" w:rsidRPr="00B4335C" w:rsidRDefault="00B4335C" w:rsidP="00B4335C">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Collaborate with other Equality Advocates from other LGA Boards on cross-cutting equalities issues</w:t>
            </w:r>
            <w:r>
              <w:rPr>
                <w:rFonts w:ascii="Arial" w:eastAsiaTheme="minorHAnsi" w:hAnsi="Arial" w:cs="Arial"/>
                <w:noProof/>
                <w:szCs w:val="22"/>
                <w:lang w:eastAsia="en-US"/>
              </w:rPr>
              <w:t>;</w:t>
            </w:r>
          </w:p>
          <w:p w14:paraId="67A541C0" w14:textId="6C53D514" w:rsidR="00FE4A75" w:rsidRDefault="00B4335C" w:rsidP="00B4335C">
            <w:pPr>
              <w:pStyle w:val="ListParagraph"/>
              <w:ind w:left="0"/>
              <w:rPr>
                <w:rFonts w:ascii="Arial" w:hAnsi="Arial" w:cs="Arial"/>
              </w:rPr>
            </w:pPr>
            <w:r w:rsidRPr="00B4335C">
              <w:rPr>
                <w:rFonts w:ascii="Arial" w:eastAsiaTheme="minorHAnsi" w:hAnsi="Arial" w:cs="Arial"/>
                <w:noProof/>
                <w:szCs w:val="22"/>
                <w:lang w:eastAsia="en-US"/>
              </w:rPr>
              <w:lastRenderedPageBreak/>
              <w:t>Provide input into and feedback to the LGA equalities work programme</w:t>
            </w:r>
            <w:r>
              <w:rPr>
                <w:rFonts w:ascii="Arial" w:eastAsiaTheme="minorHAnsi" w:hAnsi="Arial" w:cs="Arial"/>
                <w:noProof/>
                <w:szCs w:val="22"/>
                <w:lang w:eastAsia="en-US"/>
              </w:rPr>
              <w:t>.</w:t>
            </w:r>
          </w:p>
        </w:tc>
        <w:tc>
          <w:tcPr>
            <w:tcW w:w="2978" w:type="dxa"/>
            <w:tcBorders>
              <w:top w:val="nil"/>
              <w:left w:val="nil"/>
              <w:bottom w:val="single" w:sz="8" w:space="0" w:color="auto"/>
              <w:right w:val="single" w:sz="8" w:space="0" w:color="auto"/>
            </w:tcBorders>
            <w:tcMar>
              <w:top w:w="0" w:type="dxa"/>
              <w:left w:w="108" w:type="dxa"/>
              <w:bottom w:w="0" w:type="dxa"/>
              <w:right w:w="108" w:type="dxa"/>
            </w:tcMar>
          </w:tcPr>
          <w:p w14:paraId="49D84D26" w14:textId="2868D131" w:rsidR="00FE4A75" w:rsidRPr="002461A0" w:rsidRDefault="002461A0" w:rsidP="00535ED8">
            <w:pPr>
              <w:spacing w:line="252" w:lineRule="auto"/>
              <w:rPr>
                <w:rFonts w:ascii="Arial" w:hAnsi="Arial" w:cs="Arial"/>
                <w:b/>
                <w:bCs/>
              </w:rPr>
            </w:pPr>
            <w:r w:rsidRPr="002461A0">
              <w:rPr>
                <w:rFonts w:ascii="Arial" w:hAnsi="Arial" w:cs="Arial"/>
                <w:b/>
                <w:bCs/>
              </w:rPr>
              <w:lastRenderedPageBreak/>
              <w:t>Cllr Paulette Hamilton (Lab)</w:t>
            </w:r>
          </w:p>
        </w:tc>
        <w:tc>
          <w:tcPr>
            <w:tcW w:w="2124" w:type="dxa"/>
            <w:tcBorders>
              <w:top w:val="nil"/>
              <w:left w:val="nil"/>
              <w:bottom w:val="single" w:sz="8" w:space="0" w:color="auto"/>
              <w:right w:val="single" w:sz="8" w:space="0" w:color="auto"/>
            </w:tcBorders>
            <w:tcMar>
              <w:top w:w="0" w:type="dxa"/>
              <w:left w:w="108" w:type="dxa"/>
              <w:bottom w:w="0" w:type="dxa"/>
              <w:right w:w="108" w:type="dxa"/>
            </w:tcMar>
          </w:tcPr>
          <w:p w14:paraId="0A1481F3" w14:textId="77777777" w:rsidR="00FE4A75" w:rsidRDefault="00FE4A75" w:rsidP="00535ED8">
            <w:pPr>
              <w:spacing w:line="252" w:lineRule="auto"/>
              <w:rPr>
                <w:rFonts w:ascii="Arial" w:hAnsi="Arial" w:cs="Arial"/>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E42F079" w14:textId="77777777" w:rsidR="00FE4A75" w:rsidRDefault="00FE4A75" w:rsidP="00535ED8">
            <w:pPr>
              <w:spacing w:line="252" w:lineRule="auto"/>
              <w:rPr>
                <w:rFonts w:ascii="Arial" w:hAnsi="Arial" w:cs="Arial"/>
              </w:rPr>
            </w:pPr>
            <w:r>
              <w:rPr>
                <w:rFonts w:ascii="Arial" w:hAnsi="Arial" w:cs="Arial"/>
              </w:rPr>
              <w:t>Abigail Gallop</w:t>
            </w:r>
          </w:p>
          <w:p w14:paraId="22D124E9" w14:textId="6F4E91C4" w:rsidR="00FE4A75" w:rsidRDefault="00EC3CD0" w:rsidP="00535ED8">
            <w:pPr>
              <w:spacing w:line="252" w:lineRule="auto"/>
              <w:rPr>
                <w:rFonts w:ascii="Arial" w:hAnsi="Arial" w:cs="Arial"/>
              </w:rPr>
            </w:pPr>
            <w:hyperlink r:id="rId13" w:history="1">
              <w:r w:rsidR="00FE4A75" w:rsidRPr="00705302">
                <w:rPr>
                  <w:rStyle w:val="Hyperlink"/>
                  <w:rFonts w:ascii="Arial" w:hAnsi="Arial" w:cs="Arial"/>
                </w:rPr>
                <w:t>Abigail.Gallop@local.gov.uk</w:t>
              </w:r>
            </w:hyperlink>
          </w:p>
          <w:p w14:paraId="4FCA0445" w14:textId="1B8A46F7" w:rsidR="00FE4A75" w:rsidRDefault="00FE4A75" w:rsidP="00535ED8">
            <w:pPr>
              <w:spacing w:line="252" w:lineRule="auto"/>
              <w:rPr>
                <w:rFonts w:ascii="Arial" w:hAnsi="Arial" w:cs="Arial"/>
              </w:rPr>
            </w:pPr>
          </w:p>
        </w:tc>
      </w:tr>
    </w:tbl>
    <w:p w14:paraId="5E80B407" w14:textId="77777777" w:rsidR="006F5FED" w:rsidRPr="00891AE9" w:rsidRDefault="00EC3CD0">
      <w:pPr>
        <w:rPr>
          <w:rFonts w:ascii="Arial" w:hAnsi="Arial" w:cs="Arial"/>
        </w:rPr>
      </w:pPr>
    </w:p>
    <w:sectPr w:rsidR="006F5FED" w:rsidRPr="00891AE9" w:rsidSect="00BF13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195"/>
    <w:multiLevelType w:val="hybridMultilevel"/>
    <w:tmpl w:val="B6464D08"/>
    <w:lvl w:ilvl="0" w:tplc="5D5E38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55"/>
    <w:rsid w:val="000B135E"/>
    <w:rsid w:val="00103CFB"/>
    <w:rsid w:val="001B36CE"/>
    <w:rsid w:val="002461A0"/>
    <w:rsid w:val="00535ED8"/>
    <w:rsid w:val="007B066F"/>
    <w:rsid w:val="00891AE9"/>
    <w:rsid w:val="008A618E"/>
    <w:rsid w:val="008C4685"/>
    <w:rsid w:val="00B20CB4"/>
    <w:rsid w:val="00B4335C"/>
    <w:rsid w:val="00BF1355"/>
    <w:rsid w:val="00D45B4D"/>
    <w:rsid w:val="00EC3CD0"/>
    <w:rsid w:val="00EE617D"/>
    <w:rsid w:val="00FE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50B6"/>
  <w15:chartTrackingRefBased/>
  <w15:docId w15:val="{CFADB5C3-B850-4530-A1FE-07659BA2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5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1355"/>
    <w:rPr>
      <w:color w:val="0000FF"/>
      <w:u w:val="single"/>
    </w:rPr>
  </w:style>
  <w:style w:type="paragraph" w:styleId="ListParagraph">
    <w:name w:val="List Paragraph"/>
    <w:basedOn w:val="Normal"/>
    <w:uiPriority w:val="34"/>
    <w:qFormat/>
    <w:rsid w:val="00BF1355"/>
    <w:pPr>
      <w:ind w:left="720"/>
    </w:pPr>
  </w:style>
  <w:style w:type="paragraph" w:styleId="BalloonText">
    <w:name w:val="Balloon Text"/>
    <w:basedOn w:val="Normal"/>
    <w:link w:val="BalloonTextChar"/>
    <w:uiPriority w:val="99"/>
    <w:semiHidden/>
    <w:unhideWhenUsed/>
    <w:rsid w:val="00103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F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E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318192664">
      <w:bodyDiv w:val="1"/>
      <w:marLeft w:val="0"/>
      <w:marRight w:val="0"/>
      <w:marTop w:val="0"/>
      <w:marBottom w:val="0"/>
      <w:divBdr>
        <w:top w:val="none" w:sz="0" w:space="0" w:color="auto"/>
        <w:left w:val="none" w:sz="0" w:space="0" w:color="auto"/>
        <w:bottom w:val="none" w:sz="0" w:space="0" w:color="auto"/>
        <w:right w:val="none" w:sz="0" w:space="0" w:color="auto"/>
      </w:divBdr>
    </w:div>
    <w:div w:id="1043947227">
      <w:bodyDiv w:val="1"/>
      <w:marLeft w:val="0"/>
      <w:marRight w:val="0"/>
      <w:marTop w:val="0"/>
      <w:marBottom w:val="0"/>
      <w:divBdr>
        <w:top w:val="none" w:sz="0" w:space="0" w:color="auto"/>
        <w:left w:val="none" w:sz="0" w:space="0" w:color="auto"/>
        <w:bottom w:val="none" w:sz="0" w:space="0" w:color="auto"/>
        <w:right w:val="none" w:sz="0" w:space="0" w:color="auto"/>
      </w:divBdr>
      <w:divsChild>
        <w:div w:id="988822107">
          <w:marLeft w:val="0"/>
          <w:marRight w:val="0"/>
          <w:marTop w:val="0"/>
          <w:marBottom w:val="0"/>
          <w:divBdr>
            <w:top w:val="none" w:sz="0" w:space="0" w:color="auto"/>
            <w:left w:val="none" w:sz="0" w:space="0" w:color="auto"/>
            <w:bottom w:val="none" w:sz="0" w:space="0" w:color="auto"/>
            <w:right w:val="none" w:sz="0" w:space="0" w:color="auto"/>
          </w:divBdr>
        </w:div>
      </w:divsChild>
    </w:div>
    <w:div w:id="1680161024">
      <w:bodyDiv w:val="1"/>
      <w:marLeft w:val="0"/>
      <w:marRight w:val="0"/>
      <w:marTop w:val="0"/>
      <w:marBottom w:val="0"/>
      <w:divBdr>
        <w:top w:val="none" w:sz="0" w:space="0" w:color="auto"/>
        <w:left w:val="none" w:sz="0" w:space="0" w:color="auto"/>
        <w:bottom w:val="none" w:sz="0" w:space="0" w:color="auto"/>
        <w:right w:val="none" w:sz="0" w:space="0" w:color="auto"/>
      </w:divBdr>
      <w:divsChild>
        <w:div w:id="554971719">
          <w:marLeft w:val="0"/>
          <w:marRight w:val="0"/>
          <w:marTop w:val="0"/>
          <w:marBottom w:val="0"/>
          <w:divBdr>
            <w:top w:val="none" w:sz="0" w:space="0" w:color="auto"/>
            <w:left w:val="none" w:sz="0" w:space="0" w:color="auto"/>
            <w:bottom w:val="none" w:sz="0" w:space="0" w:color="auto"/>
            <w:right w:val="none" w:sz="0" w:space="0" w:color="auto"/>
          </w:divBdr>
        </w:div>
      </w:divsChild>
    </w:div>
    <w:div w:id="1829009757">
      <w:bodyDiv w:val="1"/>
      <w:marLeft w:val="0"/>
      <w:marRight w:val="0"/>
      <w:marTop w:val="0"/>
      <w:marBottom w:val="0"/>
      <w:divBdr>
        <w:top w:val="none" w:sz="0" w:space="0" w:color="auto"/>
        <w:left w:val="none" w:sz="0" w:space="0" w:color="auto"/>
        <w:bottom w:val="none" w:sz="0" w:space="0" w:color="auto"/>
        <w:right w:val="none" w:sz="0" w:space="0" w:color="auto"/>
      </w:divBdr>
      <w:divsChild>
        <w:div w:id="19944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aton@local.gov.uk" TargetMode="External"/><Relationship Id="rId13" Type="http://schemas.openxmlformats.org/officeDocument/2006/relationships/hyperlink" Target="mailto:Abigail.Gallop@local.gov.uk" TargetMode="External"/><Relationship Id="rId3" Type="http://schemas.openxmlformats.org/officeDocument/2006/relationships/settings" Target="settings.xml"/><Relationship Id="rId7" Type="http://schemas.openxmlformats.org/officeDocument/2006/relationships/hyperlink" Target="https://protect-eu.mimecast.com/s/79FnCAnOKF956oRf9KzRo" TargetMode="External"/><Relationship Id="rId12" Type="http://schemas.openxmlformats.org/officeDocument/2006/relationships/hyperlink" Target="mailto:Hannah.Berry@loc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Halden@local.gov.uk" TargetMode="External"/><Relationship Id="rId11" Type="http://schemas.openxmlformats.org/officeDocument/2006/relationships/hyperlink" Target="mailto:Abigail.Gallop@local.gov.uk" TargetMode="External"/><Relationship Id="rId5" Type="http://schemas.openxmlformats.org/officeDocument/2006/relationships/hyperlink" Target="mailto:Laura.Caton@local.gov.uk" TargetMode="External"/><Relationship Id="rId15" Type="http://schemas.openxmlformats.org/officeDocument/2006/relationships/theme" Target="theme/theme1.xml"/><Relationship Id="rId10" Type="http://schemas.openxmlformats.org/officeDocument/2006/relationships/hyperlink" Target="mailto:Emma.Jenkins@local.gov.uk" TargetMode="External"/><Relationship Id="rId4" Type="http://schemas.openxmlformats.org/officeDocument/2006/relationships/webSettings" Target="webSettings.xml"/><Relationship Id="rId9" Type="http://schemas.openxmlformats.org/officeDocument/2006/relationships/hyperlink" Target="mailto:Kevin.Halden@loca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dcterms:created xsi:type="dcterms:W3CDTF">2020-11-10T17:16:00Z</dcterms:created>
  <dcterms:modified xsi:type="dcterms:W3CDTF">2020-12-01T20:20:00Z</dcterms:modified>
</cp:coreProperties>
</file>